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蚌埠国合创业投资有限公司公开招聘高端经营管理人才岗位信息表</w:t>
      </w:r>
    </w:p>
    <w:tbl>
      <w:tblPr>
        <w:tblStyle w:val="5"/>
        <w:tblW w:w="10122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41"/>
        <w:gridCol w:w="732"/>
        <w:gridCol w:w="816"/>
        <w:gridCol w:w="3385"/>
        <w:gridCol w:w="3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岗位方向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3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基金管理和投资管理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总经理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主持公司的日常经营管理工作；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组织实施公司年度经营计划、投融资方案；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负责组织实施母基金设立、子基金设立、投资项目的尽调工作以及投后管理工作；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负责组织实施相关产业的研究；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负责组织实施公司的对外工作；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负责处理公司重大突发事件，并及时向董事长汇报；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定期向董事长汇报经营战略和计划执行情况、资金运用情况和盈亏情况、机构和人员调配情况及其他重大事宜。</w:t>
            </w:r>
          </w:p>
        </w:tc>
        <w:tc>
          <w:tcPr>
            <w:tcW w:w="3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年龄45周岁以下；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企业管理、金融、经济相关专业；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担任银行、股权投资公司或基金管理公司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副总经理及以上职务或部门正职岗位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且任职2年以上；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具有5 年以上股权投资管理或者相关产业管理等工作经验；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最近10 年内至少2 起主导投资于未上市企业股权的项目经验，投资金额合计不低于3000 万元人民币，且至少应有1 起项目通过首次公开发行股票并上市、股权并购或者股权转让等方式退出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已经取得基金从业资格证书；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岗位从业经历丰富且业绩突出者优先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bookmarkStart w:id="0" w:name="_GoBack" w:colFirst="5" w:colLast="5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合规风控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合规风控负责人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1.负责公司日常法律文件文书及合同的起草、审查等工作，包括但不限于基金设立、股权投资等基金运营所需的法律文书；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2.组织和实施对拟投标的的法务尽调工作；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3.研究国有资本运营管理、基金行业、证券行业有关的法律、法规、规章，为公司发展提供法律建议；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4.负责公司重要决议、规章制度及重大经济活动相关的法律文书的起草和修订；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5.负责公司其他日常合规及风险控制工作。</w:t>
            </w:r>
          </w:p>
        </w:tc>
        <w:tc>
          <w:tcPr>
            <w:tcW w:w="3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年龄45周岁以下；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企业管理、金融、经济、法学相关专业；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担任银行、股权投资公司或基金管理公司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部门正职及以上职务或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副职岗位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且任职2年以上；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具有3 年以上投资相关的法律、会计、审计、监察、稽核，或者资产管理行业合规、风控、监管和自律管理等相关工作经验；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已经取得基金从业资格证书；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.取得法律职业资格证书的优先。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6C414"/>
    <w:multiLevelType w:val="singleLevel"/>
    <w:tmpl w:val="0166C414"/>
    <w:lvl w:ilvl="0" w:tentative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1">
    <w:nsid w:val="408EFC56"/>
    <w:multiLevelType w:val="singleLevel"/>
    <w:tmpl w:val="408EFC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7836BE"/>
    <w:multiLevelType w:val="singleLevel"/>
    <w:tmpl w:val="717836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NTEwOGFlMjM4YmU0YWM5ZWRhNGM5MDM2NzI3NzcifQ=="/>
    <w:docVar w:name="KSO_WPS_MARK_KEY" w:val="ba15fe53-a2be-4141-a6b8-b94978b0c59d"/>
  </w:docVars>
  <w:rsids>
    <w:rsidRoot w:val="4FA04C38"/>
    <w:rsid w:val="1E130AC8"/>
    <w:rsid w:val="4FA0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  <w:rPr>
      <w:rFonts w:ascii="Times New Roman" w:hAnsi="Times New Roman" w:eastAsia="宋体" w:cs="Times New Roman"/>
    </w:rPr>
  </w:style>
  <w:style w:type="paragraph" w:customStyle="1" w:styleId="3">
    <w:name w:val="Body Text First Indent1"/>
    <w:basedOn w:val="2"/>
    <w:qFormat/>
    <w:uiPriority w:val="0"/>
    <w:pPr>
      <w:spacing w:line="360" w:lineRule="auto"/>
      <w:ind w:firstLine="420" w:firstLineChars="100"/>
    </w:pPr>
    <w:rPr>
      <w:rFonts w:ascii="Calibri" w:hAnsi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2024-01-02T03:23:00Z</dcterms:created>
  <dc:creator>s m z</dc:creator>
  <cp:lastModifiedBy>张莉莉（新安人才）</cp:lastModifiedBy>
  <dcterms:modified xsi:type="dcterms:W3CDTF">2024-01-04T01:27:14Z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7BC64AAADD8C43BBB2A6B1857D1B3552_11</vt:lpwstr>
  </property>
</Properties>
</file>